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256" w:rsidRPr="00B324D1" w:rsidRDefault="00736256" w:rsidP="007425BF">
      <w:pPr>
        <w:spacing w:after="0" w:line="340" w:lineRule="exact"/>
        <w:jc w:val="center"/>
        <w:rPr>
          <w:b/>
          <w:sz w:val="24"/>
          <w:szCs w:val="24"/>
        </w:rPr>
      </w:pPr>
      <w:r w:rsidRPr="00B324D1">
        <w:rPr>
          <w:b/>
          <w:sz w:val="24"/>
          <w:szCs w:val="24"/>
        </w:rPr>
        <w:t>COMUNICATO-STAMPA</w:t>
      </w:r>
    </w:p>
    <w:p w:rsidR="00736256" w:rsidRPr="00B324D1" w:rsidRDefault="00736256" w:rsidP="007425BF">
      <w:pPr>
        <w:spacing w:after="0" w:line="340" w:lineRule="exact"/>
        <w:jc w:val="center"/>
        <w:rPr>
          <w:b/>
          <w:sz w:val="24"/>
          <w:szCs w:val="24"/>
        </w:rPr>
      </w:pPr>
    </w:p>
    <w:p w:rsidR="005325AC" w:rsidRPr="00B324D1" w:rsidRDefault="00736256" w:rsidP="007425BF">
      <w:pPr>
        <w:pStyle w:val="NormaleWeb"/>
        <w:spacing w:before="0" w:beforeAutospacing="0" w:after="0" w:afterAutospacing="0" w:line="340" w:lineRule="exact"/>
        <w:jc w:val="center"/>
        <w:rPr>
          <w:rStyle w:val="Enfasicorsivo"/>
          <w:rFonts w:asciiTheme="minorHAnsi" w:hAnsiTheme="minorHAnsi"/>
          <w:caps/>
        </w:rPr>
      </w:pPr>
      <w:r w:rsidRPr="00B324D1">
        <w:rPr>
          <w:rStyle w:val="Enfasicorsivo"/>
          <w:rFonts w:asciiTheme="minorHAnsi" w:hAnsiTheme="minorHAnsi"/>
          <w:caps/>
        </w:rPr>
        <w:t>PIù LETTURA</w:t>
      </w:r>
      <w:r w:rsidR="007425BF" w:rsidRPr="00B324D1">
        <w:rPr>
          <w:rStyle w:val="Enfasicorsivo"/>
          <w:rFonts w:asciiTheme="minorHAnsi" w:hAnsiTheme="minorHAnsi"/>
          <w:caps/>
        </w:rPr>
        <w:t>,</w:t>
      </w:r>
      <w:r w:rsidRPr="00B324D1">
        <w:rPr>
          <w:rStyle w:val="Enfasicorsivo"/>
          <w:rFonts w:asciiTheme="minorHAnsi" w:hAnsiTheme="minorHAnsi"/>
          <w:caps/>
        </w:rPr>
        <w:t xml:space="preserve"> PIù COMUNICazione:</w:t>
      </w:r>
    </w:p>
    <w:p w:rsidR="00736256" w:rsidRPr="00B324D1" w:rsidRDefault="005325AC" w:rsidP="007425BF">
      <w:pPr>
        <w:pStyle w:val="NormaleWeb"/>
        <w:spacing w:before="0" w:beforeAutospacing="0" w:after="0" w:afterAutospacing="0" w:line="340" w:lineRule="exact"/>
        <w:jc w:val="center"/>
        <w:rPr>
          <w:rStyle w:val="Enfasicorsivo"/>
          <w:rFonts w:asciiTheme="minorHAnsi" w:hAnsiTheme="minorHAnsi"/>
          <w:caps/>
        </w:rPr>
      </w:pPr>
      <w:r w:rsidRPr="00B324D1">
        <w:rPr>
          <w:rStyle w:val="Enfasicorsivo"/>
          <w:rFonts w:asciiTheme="minorHAnsi" w:hAnsiTheme="minorHAnsi"/>
          <w:caps/>
        </w:rPr>
        <w:t>D</w:t>
      </w:r>
      <w:r w:rsidR="00736256" w:rsidRPr="00B324D1">
        <w:rPr>
          <w:rStyle w:val="Enfasicorsivo"/>
          <w:rFonts w:asciiTheme="minorHAnsi" w:hAnsiTheme="minorHAnsi"/>
          <w:caps/>
        </w:rPr>
        <w:t>ue proposte DALLA FILIERA DELLA CARTA</w:t>
      </w:r>
    </w:p>
    <w:p w:rsidR="007425BF" w:rsidRPr="00B324D1" w:rsidRDefault="007425BF" w:rsidP="007425BF">
      <w:pPr>
        <w:pStyle w:val="NormaleWeb"/>
        <w:spacing w:before="0" w:beforeAutospacing="0" w:after="0" w:afterAutospacing="0" w:line="340" w:lineRule="exact"/>
        <w:jc w:val="center"/>
        <w:rPr>
          <w:rStyle w:val="Enfasicorsivo"/>
          <w:rFonts w:asciiTheme="minorHAnsi" w:hAnsiTheme="minorHAnsi"/>
          <w:caps/>
        </w:rPr>
      </w:pPr>
    </w:p>
    <w:p w:rsidR="007425BF" w:rsidRPr="00B324D1" w:rsidRDefault="007425BF" w:rsidP="007425BF">
      <w:pPr>
        <w:pStyle w:val="NormaleWeb"/>
        <w:spacing w:before="0" w:beforeAutospacing="0" w:after="0" w:afterAutospacing="0" w:line="340" w:lineRule="exact"/>
        <w:jc w:val="center"/>
        <w:rPr>
          <w:rStyle w:val="Enfasicorsivo"/>
          <w:rFonts w:asciiTheme="minorHAnsi" w:hAnsiTheme="minorHAnsi"/>
          <w:caps/>
        </w:rPr>
      </w:pPr>
    </w:p>
    <w:p w:rsidR="00267D74" w:rsidRPr="00B324D1" w:rsidRDefault="00267D74" w:rsidP="00267D74">
      <w:pPr>
        <w:pStyle w:val="NormaleWeb"/>
        <w:spacing w:before="0" w:beforeAutospacing="0" w:after="0" w:afterAutospacing="0"/>
        <w:jc w:val="both"/>
        <w:rPr>
          <w:rStyle w:val="Enfasicorsivo"/>
          <w:rFonts w:asciiTheme="minorHAnsi" w:hAnsiTheme="minorHAnsi"/>
          <w:b w:val="0"/>
        </w:rPr>
      </w:pPr>
      <w:r w:rsidRPr="00B324D1">
        <w:rPr>
          <w:rFonts w:asciiTheme="minorHAnsi" w:hAnsiTheme="minorHAnsi"/>
        </w:rPr>
        <w:t>Roma, 16 marzo 2016 -  Sgravi fiscali per la lettura e per gli investimenti pubblicitari sulla stampa: sono le proposte presentate dalle Associazioni della Filiera della Carta, Editoria, Stampa e Trasformazione (</w:t>
      </w:r>
      <w:proofErr w:type="spellStart"/>
      <w:r w:rsidRPr="00B324D1">
        <w:rPr>
          <w:rFonts w:asciiTheme="minorHAnsi" w:hAnsiTheme="minorHAnsi"/>
        </w:rPr>
        <w:t>Acimga</w:t>
      </w:r>
      <w:proofErr w:type="spellEnd"/>
      <w:r w:rsidRPr="00B324D1">
        <w:rPr>
          <w:rFonts w:asciiTheme="minorHAnsi" w:hAnsiTheme="minorHAnsi"/>
        </w:rPr>
        <w:t xml:space="preserve">, Aie, </w:t>
      </w:r>
      <w:proofErr w:type="spellStart"/>
      <w:r w:rsidRPr="00B324D1">
        <w:rPr>
          <w:rFonts w:asciiTheme="minorHAnsi" w:hAnsiTheme="minorHAnsi"/>
        </w:rPr>
        <w:t>Argi</w:t>
      </w:r>
      <w:proofErr w:type="spellEnd"/>
      <w:r w:rsidRPr="00B324D1">
        <w:rPr>
          <w:rFonts w:asciiTheme="minorHAnsi" w:hAnsiTheme="minorHAnsi"/>
        </w:rPr>
        <w:t xml:space="preserve">, Asig, Assocarta, </w:t>
      </w:r>
      <w:proofErr w:type="spellStart"/>
      <w:r w:rsidRPr="00B324D1">
        <w:rPr>
          <w:rFonts w:asciiTheme="minorHAnsi" w:hAnsiTheme="minorHAnsi"/>
        </w:rPr>
        <w:t>Assografici</w:t>
      </w:r>
      <w:proofErr w:type="spellEnd"/>
      <w:r w:rsidRPr="00B324D1">
        <w:rPr>
          <w:rFonts w:asciiTheme="minorHAnsi" w:hAnsiTheme="minorHAnsi"/>
        </w:rPr>
        <w:t xml:space="preserve"> e Fieg) nel corso dell’Incontro pubblico “</w:t>
      </w:r>
      <w:r w:rsidRPr="00B324D1">
        <w:rPr>
          <w:rStyle w:val="Enfasicorsivo"/>
          <w:rFonts w:asciiTheme="minorHAnsi" w:hAnsiTheme="minorHAnsi"/>
          <w:caps/>
        </w:rPr>
        <w:t xml:space="preserve">PIù LETTURA, PIù </w:t>
      </w:r>
      <w:proofErr w:type="gramStart"/>
      <w:r w:rsidRPr="00B324D1">
        <w:rPr>
          <w:rStyle w:val="Enfasicorsivo"/>
          <w:rFonts w:asciiTheme="minorHAnsi" w:hAnsiTheme="minorHAnsi"/>
          <w:caps/>
        </w:rPr>
        <w:t>COMUNICazione“</w:t>
      </w:r>
      <w:r w:rsidRPr="00B324D1">
        <w:rPr>
          <w:rStyle w:val="Enfasicorsivo"/>
          <w:rFonts w:asciiTheme="minorHAnsi" w:hAnsiTheme="minorHAnsi"/>
          <w:b w:val="0"/>
          <w:caps/>
        </w:rPr>
        <w:t xml:space="preserve"> </w:t>
      </w:r>
      <w:r w:rsidRPr="00B324D1">
        <w:rPr>
          <w:rStyle w:val="Enfasicorsivo"/>
          <w:rFonts w:asciiTheme="minorHAnsi" w:hAnsiTheme="minorHAnsi"/>
          <w:b w:val="0"/>
        </w:rPr>
        <w:t>svoltosi</w:t>
      </w:r>
      <w:proofErr w:type="gramEnd"/>
      <w:r w:rsidRPr="00B324D1">
        <w:rPr>
          <w:rStyle w:val="Enfasicorsivo"/>
          <w:rFonts w:asciiTheme="minorHAnsi" w:hAnsiTheme="minorHAnsi"/>
          <w:b w:val="0"/>
        </w:rPr>
        <w:t xml:space="preserve"> oggi a Roma.</w:t>
      </w:r>
    </w:p>
    <w:p w:rsidR="00267D74" w:rsidRPr="00B324D1" w:rsidRDefault="00267D74" w:rsidP="00267D74">
      <w:pPr>
        <w:pStyle w:val="NormaleWeb"/>
        <w:spacing w:before="0" w:beforeAutospacing="0" w:after="0" w:afterAutospacing="0"/>
        <w:jc w:val="both"/>
        <w:rPr>
          <w:rStyle w:val="Enfasicorsivo"/>
          <w:rFonts w:asciiTheme="minorHAnsi" w:hAnsiTheme="minorHAnsi"/>
          <w:b w:val="0"/>
        </w:rPr>
      </w:pPr>
    </w:p>
    <w:p w:rsidR="00267D74" w:rsidRPr="00B324D1" w:rsidRDefault="00267D74" w:rsidP="00267D74">
      <w:pPr>
        <w:spacing w:after="0" w:line="240" w:lineRule="auto"/>
        <w:jc w:val="both"/>
        <w:rPr>
          <w:i/>
          <w:iCs/>
          <w:sz w:val="24"/>
          <w:szCs w:val="24"/>
        </w:rPr>
      </w:pPr>
      <w:r w:rsidRPr="00B324D1">
        <w:rPr>
          <w:rStyle w:val="Enfasicorsivo"/>
          <w:b w:val="0"/>
          <w:sz w:val="24"/>
          <w:szCs w:val="24"/>
        </w:rPr>
        <w:t xml:space="preserve">La necessità di dare un nuovo impulso al consumo dei prodotti culturali da parte delle famiglie è alla base della prima delle due misure condivise dalle sette organizzazioni, illustrata dal Direttore dell’AIE, </w:t>
      </w:r>
      <w:r w:rsidRPr="00B324D1">
        <w:rPr>
          <w:rStyle w:val="Enfasicorsivo"/>
          <w:i/>
          <w:sz w:val="24"/>
          <w:szCs w:val="24"/>
        </w:rPr>
        <w:t>Alfieri Lorenzon</w:t>
      </w:r>
      <w:r w:rsidRPr="00B324D1">
        <w:rPr>
          <w:rStyle w:val="Enfasicorsivo"/>
          <w:b w:val="0"/>
          <w:i/>
          <w:sz w:val="24"/>
          <w:szCs w:val="24"/>
        </w:rPr>
        <w:t xml:space="preserve">: </w:t>
      </w:r>
      <w:r w:rsidRPr="00B324D1">
        <w:rPr>
          <w:rStyle w:val="Enfasicorsivo"/>
          <w:b w:val="0"/>
          <w:sz w:val="24"/>
          <w:szCs w:val="24"/>
        </w:rPr>
        <w:t>una</w:t>
      </w:r>
      <w:r w:rsidRPr="00B324D1">
        <w:rPr>
          <w:rFonts w:eastAsia="Calibri" w:cs="Times New Roman"/>
          <w:sz w:val="24"/>
          <w:szCs w:val="24"/>
          <w:lang w:eastAsia="it-IT"/>
        </w:rPr>
        <w:t xml:space="preserve"> detrazione dalle imposte sul reddito delle persone fisiche per gli acquisti di libri, quotidiani e periodici in formato cartaceo o digitale, pari al 19% dell’importo speso nel corso dell’anno. </w:t>
      </w:r>
      <w:r w:rsidRPr="00B324D1">
        <w:rPr>
          <w:i/>
          <w:iCs/>
          <w:sz w:val="24"/>
          <w:szCs w:val="24"/>
        </w:rPr>
        <w:t xml:space="preserve">"I timidi segnali di miglioramento del mercato libraio e degli indici di lettura da ultimo registrati </w:t>
      </w:r>
      <w:r w:rsidRPr="00B324D1">
        <w:rPr>
          <w:iCs/>
          <w:sz w:val="24"/>
          <w:szCs w:val="24"/>
        </w:rPr>
        <w:t xml:space="preserve">– ha detto Lorenzon – </w:t>
      </w:r>
      <w:r w:rsidRPr="00B324D1">
        <w:rPr>
          <w:i/>
          <w:iCs/>
          <w:sz w:val="24"/>
          <w:szCs w:val="24"/>
        </w:rPr>
        <w:t>devono essere sostenuti con una misura strutturale: la detrazione delle spese di acquisto di libri, come di quotidiani e periodici, è utile per una promozione stabile della lettura e per sostenere lo stesso diritto allo studio e alla conoscenza dal cui esercizio si sviluppa il sapere e il futuro sociale ed economico del nostro Paese".</w:t>
      </w:r>
    </w:p>
    <w:p w:rsidR="00267D74" w:rsidRPr="00B324D1" w:rsidRDefault="00267D74" w:rsidP="00267D74">
      <w:pPr>
        <w:spacing w:after="0" w:line="240" w:lineRule="auto"/>
        <w:jc w:val="both"/>
        <w:rPr>
          <w:rFonts w:eastAsia="Calibri" w:cs="Times New Roman"/>
          <w:sz w:val="24"/>
          <w:szCs w:val="24"/>
          <w:lang w:eastAsia="it-IT"/>
        </w:rPr>
      </w:pPr>
    </w:p>
    <w:p w:rsidR="00267D74" w:rsidRPr="00B324D1" w:rsidRDefault="00267D74" w:rsidP="00267D74">
      <w:pPr>
        <w:spacing w:after="0" w:line="240" w:lineRule="auto"/>
        <w:jc w:val="both"/>
        <w:rPr>
          <w:color w:val="000000"/>
          <w:sz w:val="24"/>
          <w:szCs w:val="24"/>
          <w:lang w:eastAsia="it-IT"/>
        </w:rPr>
      </w:pPr>
      <w:r w:rsidRPr="00B324D1">
        <w:rPr>
          <w:sz w:val="24"/>
          <w:szCs w:val="24"/>
        </w:rPr>
        <w:t xml:space="preserve">Il Direttore Generale della FIEG, </w:t>
      </w:r>
      <w:r w:rsidRPr="00B324D1">
        <w:rPr>
          <w:b/>
          <w:i/>
          <w:sz w:val="24"/>
          <w:szCs w:val="24"/>
        </w:rPr>
        <w:t>Fabrizio Carotti</w:t>
      </w:r>
      <w:r w:rsidRPr="00B324D1">
        <w:rPr>
          <w:i/>
          <w:sz w:val="24"/>
          <w:szCs w:val="24"/>
        </w:rPr>
        <w:t xml:space="preserve">, </w:t>
      </w:r>
      <w:r w:rsidRPr="00B324D1">
        <w:rPr>
          <w:rFonts w:eastAsia="Times New Roman"/>
          <w:color w:val="000000"/>
          <w:sz w:val="24"/>
          <w:szCs w:val="24"/>
        </w:rPr>
        <w:t>ha presentato una misura volta ad ottenere un duplice</w:t>
      </w:r>
      <w:r w:rsidRPr="00B324D1">
        <w:rPr>
          <w:sz w:val="24"/>
          <w:szCs w:val="24"/>
        </w:rPr>
        <w:t xml:space="preserve"> effetto: rilanciare gli investimenti pubblicitari, con la loro funzione </w:t>
      </w:r>
      <w:proofErr w:type="spellStart"/>
      <w:r w:rsidRPr="00B324D1">
        <w:rPr>
          <w:sz w:val="24"/>
          <w:szCs w:val="24"/>
        </w:rPr>
        <w:t>prociclica</w:t>
      </w:r>
      <w:proofErr w:type="spellEnd"/>
      <w:r w:rsidRPr="00B324D1">
        <w:rPr>
          <w:sz w:val="24"/>
          <w:szCs w:val="24"/>
        </w:rPr>
        <w:t xml:space="preserve"> di spinta ai consumi e, nello stesso tempo, garantire risorse a quotidiani e periodici, veicolo di cultura e libertà. La proposta premia le imprese che effettuano investimenti pubblicitari maggiori rispetto a quelli degli anni precedenti. </w:t>
      </w:r>
      <w:r w:rsidRPr="00B324D1">
        <w:rPr>
          <w:color w:val="000000"/>
          <w:sz w:val="24"/>
          <w:szCs w:val="24"/>
          <w:lang w:eastAsia="it-IT"/>
        </w:rPr>
        <w:t>“</w:t>
      </w:r>
      <w:r w:rsidRPr="00B324D1">
        <w:rPr>
          <w:i/>
          <w:iCs/>
          <w:color w:val="000000"/>
          <w:sz w:val="24"/>
          <w:szCs w:val="24"/>
          <w:lang w:eastAsia="it-IT"/>
        </w:rPr>
        <w:t xml:space="preserve">La detassazione degli investimenti pubblicitari incrementali su quotidiani e periodici </w:t>
      </w:r>
      <w:r w:rsidRPr="00B324D1">
        <w:rPr>
          <w:color w:val="000000"/>
          <w:sz w:val="24"/>
          <w:szCs w:val="24"/>
          <w:lang w:eastAsia="it-IT"/>
        </w:rPr>
        <w:t>– ha affermato Carotti –</w:t>
      </w:r>
      <w:r w:rsidRPr="00B324D1">
        <w:rPr>
          <w:i/>
          <w:iCs/>
          <w:color w:val="000000"/>
          <w:sz w:val="24"/>
          <w:szCs w:val="24"/>
          <w:lang w:eastAsia="it-IT"/>
        </w:rPr>
        <w:t xml:space="preserve"> è contenuta</w:t>
      </w:r>
      <w:r w:rsidRPr="00B324D1">
        <w:rPr>
          <w:color w:val="000000"/>
          <w:sz w:val="24"/>
          <w:szCs w:val="24"/>
          <w:lang w:eastAsia="it-IT"/>
        </w:rPr>
        <w:t xml:space="preserve"> </w:t>
      </w:r>
      <w:r w:rsidRPr="00B324D1">
        <w:rPr>
          <w:i/>
          <w:iCs/>
          <w:color w:val="000000"/>
          <w:sz w:val="24"/>
          <w:szCs w:val="24"/>
          <w:lang w:eastAsia="it-IT"/>
        </w:rPr>
        <w:t>come criterio di delega del DDL sull’editoria che inizia in questi giorni il suo percorso parlamentare al Senato, dopo l’approvazione da parte della Camera. Sarebbe auspicabile trasformare il criterio di delega in puntuale disposizione di legge per rendere immediatamente operativa la misur</w:t>
      </w:r>
      <w:r>
        <w:rPr>
          <w:i/>
          <w:iCs/>
          <w:color w:val="000000"/>
          <w:sz w:val="24"/>
          <w:szCs w:val="24"/>
          <w:lang w:eastAsia="it-IT"/>
        </w:rPr>
        <w:t>a e</w:t>
      </w:r>
      <w:r w:rsidRPr="00B324D1">
        <w:rPr>
          <w:i/>
          <w:iCs/>
          <w:color w:val="000000"/>
          <w:sz w:val="24"/>
          <w:szCs w:val="24"/>
          <w:lang w:eastAsia="it-IT"/>
        </w:rPr>
        <w:t xml:space="preserve"> cogliere e potenziare l’avvio della ripresa economica</w:t>
      </w:r>
      <w:r w:rsidRPr="00B324D1">
        <w:rPr>
          <w:color w:val="000000"/>
          <w:sz w:val="24"/>
          <w:szCs w:val="24"/>
          <w:lang w:eastAsia="it-IT"/>
        </w:rPr>
        <w:t>”.</w:t>
      </w:r>
    </w:p>
    <w:p w:rsidR="00267D74" w:rsidRPr="00B324D1" w:rsidRDefault="00267D74" w:rsidP="00267D74">
      <w:pPr>
        <w:spacing w:after="0" w:line="240" w:lineRule="auto"/>
        <w:jc w:val="both"/>
        <w:rPr>
          <w:color w:val="000000"/>
          <w:sz w:val="24"/>
          <w:szCs w:val="24"/>
          <w:lang w:eastAsia="it-IT"/>
        </w:rPr>
      </w:pPr>
    </w:p>
    <w:p w:rsidR="00267D74" w:rsidRPr="00B324D1" w:rsidRDefault="00267D74" w:rsidP="00267D74">
      <w:pPr>
        <w:autoSpaceDE w:val="0"/>
        <w:autoSpaceDN w:val="0"/>
        <w:spacing w:after="0" w:line="240" w:lineRule="auto"/>
        <w:jc w:val="both"/>
        <w:rPr>
          <w:color w:val="000000"/>
          <w:sz w:val="24"/>
          <w:szCs w:val="24"/>
          <w:lang w:eastAsia="it-IT"/>
        </w:rPr>
      </w:pPr>
      <w:r w:rsidRPr="00B324D1">
        <w:rPr>
          <w:color w:val="000000"/>
          <w:sz w:val="24"/>
          <w:szCs w:val="24"/>
          <w:lang w:eastAsia="it-IT"/>
        </w:rPr>
        <w:t xml:space="preserve">L’illustrazione delle proposte è stata preceduta da quella dei dati complessivi del settore da parte dei Direttori di ASSOCARTA, </w:t>
      </w:r>
      <w:r w:rsidRPr="00B324D1">
        <w:rPr>
          <w:b/>
          <w:i/>
          <w:color w:val="000000"/>
          <w:sz w:val="24"/>
          <w:szCs w:val="24"/>
          <w:lang w:eastAsia="it-IT"/>
        </w:rPr>
        <w:t>Massimo Medugno</w:t>
      </w:r>
      <w:r w:rsidRPr="00B324D1">
        <w:rPr>
          <w:color w:val="000000"/>
          <w:sz w:val="24"/>
          <w:szCs w:val="24"/>
          <w:lang w:eastAsia="it-IT"/>
        </w:rPr>
        <w:t xml:space="preserve">, e ASSOGRAFICI, </w:t>
      </w:r>
      <w:r w:rsidRPr="00B324D1">
        <w:rPr>
          <w:b/>
          <w:i/>
          <w:color w:val="000000"/>
          <w:sz w:val="24"/>
          <w:szCs w:val="24"/>
          <w:lang w:eastAsia="it-IT"/>
        </w:rPr>
        <w:t xml:space="preserve">Claudio </w:t>
      </w:r>
      <w:proofErr w:type="spellStart"/>
      <w:r w:rsidRPr="00B324D1">
        <w:rPr>
          <w:b/>
          <w:i/>
          <w:color w:val="000000"/>
          <w:sz w:val="24"/>
          <w:szCs w:val="24"/>
          <w:lang w:eastAsia="it-IT"/>
        </w:rPr>
        <w:t>Covini</w:t>
      </w:r>
      <w:proofErr w:type="spellEnd"/>
      <w:r w:rsidRPr="00B324D1">
        <w:rPr>
          <w:color w:val="000000"/>
          <w:sz w:val="24"/>
          <w:szCs w:val="24"/>
          <w:lang w:eastAsia="it-IT"/>
        </w:rPr>
        <w:t>, che ne hanno ribadito l’importanza strategica all’interno della economia italiana e il notevole impatto dal punto di vista anche occupazionale.  “</w:t>
      </w:r>
      <w:r w:rsidRPr="00B324D1">
        <w:rPr>
          <w:i/>
          <w:color w:val="000000"/>
          <w:sz w:val="24"/>
          <w:szCs w:val="24"/>
          <w:lang w:eastAsia="it-IT"/>
        </w:rPr>
        <w:t>Anche nel 2015, dei circa 31 miliardi di fatturato complessivo, circa 9,5 sono stati realizzati con l’export con un saldo attivo di poco meno di 4. Il mercato interno rimane il vero tallone d’Achille. Infatti, nel 2015 è andata appena meglio del 2014 che insieme al 2008 (“</w:t>
      </w:r>
      <w:proofErr w:type="spellStart"/>
      <w:r w:rsidRPr="00B324D1">
        <w:rPr>
          <w:i/>
          <w:color w:val="000000"/>
          <w:sz w:val="24"/>
          <w:szCs w:val="24"/>
          <w:lang w:eastAsia="it-IT"/>
        </w:rPr>
        <w:t>annus</w:t>
      </w:r>
      <w:proofErr w:type="spellEnd"/>
      <w:r w:rsidRPr="00B324D1">
        <w:rPr>
          <w:i/>
          <w:color w:val="000000"/>
          <w:sz w:val="24"/>
          <w:szCs w:val="24"/>
          <w:lang w:eastAsia="it-IT"/>
        </w:rPr>
        <w:t xml:space="preserve"> </w:t>
      </w:r>
      <w:proofErr w:type="spellStart"/>
      <w:r w:rsidRPr="00B324D1">
        <w:rPr>
          <w:i/>
          <w:color w:val="000000"/>
          <w:sz w:val="24"/>
          <w:szCs w:val="24"/>
          <w:lang w:eastAsia="it-IT"/>
        </w:rPr>
        <w:t>horribilis</w:t>
      </w:r>
      <w:proofErr w:type="spellEnd"/>
      <w:r w:rsidRPr="00B324D1">
        <w:rPr>
          <w:i/>
          <w:color w:val="000000"/>
          <w:sz w:val="24"/>
          <w:szCs w:val="24"/>
          <w:lang w:eastAsia="it-IT"/>
        </w:rPr>
        <w:t>”) rappresentano i minimi storici</w:t>
      </w:r>
      <w:r w:rsidRPr="00B324D1">
        <w:rPr>
          <w:color w:val="000000"/>
          <w:sz w:val="24"/>
          <w:szCs w:val="24"/>
          <w:lang w:eastAsia="it-IT"/>
        </w:rPr>
        <w:t xml:space="preserve">”. Commenta così Claudio </w:t>
      </w:r>
      <w:proofErr w:type="spellStart"/>
      <w:r w:rsidRPr="00B324D1">
        <w:rPr>
          <w:color w:val="000000"/>
          <w:sz w:val="24"/>
          <w:szCs w:val="24"/>
          <w:lang w:eastAsia="it-IT"/>
        </w:rPr>
        <w:t>Covini</w:t>
      </w:r>
      <w:proofErr w:type="spellEnd"/>
      <w:r w:rsidRPr="00B324D1">
        <w:rPr>
          <w:color w:val="000000"/>
          <w:sz w:val="24"/>
          <w:szCs w:val="24"/>
          <w:lang w:eastAsia="it-IT"/>
        </w:rPr>
        <w:t>. E aggiunge Massimo Medugno: “</w:t>
      </w:r>
      <w:r w:rsidRPr="00B324D1">
        <w:rPr>
          <w:i/>
          <w:color w:val="000000"/>
          <w:sz w:val="24"/>
          <w:szCs w:val="24"/>
          <w:lang w:eastAsia="it-IT"/>
        </w:rPr>
        <w:t xml:space="preserve">Una Filiera unica e irripetibile che innerva tutta l’Italia e che dà voce e veste anche al Made in </w:t>
      </w:r>
      <w:proofErr w:type="spellStart"/>
      <w:r w:rsidRPr="00B324D1">
        <w:rPr>
          <w:i/>
          <w:color w:val="000000"/>
          <w:sz w:val="24"/>
          <w:szCs w:val="24"/>
          <w:lang w:eastAsia="it-IT"/>
        </w:rPr>
        <w:t>Italy</w:t>
      </w:r>
      <w:proofErr w:type="spellEnd"/>
      <w:r w:rsidRPr="00B324D1">
        <w:rPr>
          <w:i/>
          <w:color w:val="000000"/>
          <w:sz w:val="24"/>
          <w:szCs w:val="24"/>
          <w:lang w:eastAsia="it-IT"/>
        </w:rPr>
        <w:t>: oggi già ricicla il 55% di quanto immette sul mercato e rappresenta il 5% dell’occupazione manifatturiera, circa 200.000 addetti, che arrivano a 680.000 con l’indotto</w:t>
      </w:r>
      <w:r w:rsidRPr="00B324D1">
        <w:rPr>
          <w:color w:val="000000"/>
          <w:sz w:val="24"/>
          <w:szCs w:val="24"/>
          <w:lang w:eastAsia="it-IT"/>
        </w:rPr>
        <w:t>”.</w:t>
      </w:r>
    </w:p>
    <w:p w:rsidR="007425BF" w:rsidRPr="00B324D1" w:rsidRDefault="007425BF" w:rsidP="00B324D1">
      <w:pPr>
        <w:autoSpaceDE w:val="0"/>
        <w:autoSpaceDN w:val="0"/>
        <w:spacing w:after="0" w:line="240" w:lineRule="auto"/>
        <w:jc w:val="both"/>
        <w:rPr>
          <w:color w:val="000000"/>
          <w:lang w:eastAsia="it-IT"/>
        </w:rPr>
      </w:pPr>
      <w:bookmarkStart w:id="0" w:name="_GoBack"/>
      <w:bookmarkEnd w:id="0"/>
    </w:p>
    <w:sectPr w:rsidR="007425BF" w:rsidRPr="00B324D1" w:rsidSect="00826458">
      <w:headerReference w:type="default" r:id="rId7"/>
      <w:footerReference w:type="default" r:id="rId8"/>
      <w:pgSz w:w="11906" w:h="16838"/>
      <w:pgMar w:top="1418"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5CE" w:rsidRDefault="00E605CE" w:rsidP="00F17DD9">
      <w:pPr>
        <w:spacing w:after="0" w:line="240" w:lineRule="auto"/>
      </w:pPr>
      <w:r>
        <w:separator/>
      </w:r>
    </w:p>
  </w:endnote>
  <w:endnote w:type="continuationSeparator" w:id="0">
    <w:p w:rsidR="00E605CE" w:rsidRDefault="00E605CE" w:rsidP="00F17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426" w:rsidRPr="005B2426" w:rsidRDefault="005B2426" w:rsidP="005B2426">
    <w:pPr>
      <w:pStyle w:val="Pidipagina"/>
      <w:jc w:val="center"/>
      <w:rPr>
        <w:b/>
        <w:color w:val="808080" w:themeColor="background1" w:themeShade="80"/>
        <w:sz w:val="16"/>
        <w:szCs w:val="16"/>
      </w:rPr>
    </w:pPr>
    <w:r w:rsidRPr="005B2426">
      <w:rPr>
        <w:b/>
        <w:color w:val="808080" w:themeColor="background1" w:themeShade="80"/>
        <w:sz w:val="16"/>
        <w:szCs w:val="16"/>
      </w:rPr>
      <w:t>comunicazione@fieg.it</w:t>
    </w:r>
  </w:p>
  <w:p w:rsidR="00F17DD9" w:rsidRPr="00F17DD9" w:rsidRDefault="00F17DD9" w:rsidP="00F17DD9">
    <w:pPr>
      <w:pStyle w:val="Pidipagina"/>
      <w:jc w:val="center"/>
      <w:rPr>
        <w:color w:val="548DD4" w:themeColor="text2" w:themeTint="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5CE" w:rsidRDefault="00E605CE" w:rsidP="00F17DD9">
      <w:pPr>
        <w:spacing w:after="0" w:line="240" w:lineRule="auto"/>
      </w:pPr>
      <w:r>
        <w:separator/>
      </w:r>
    </w:p>
  </w:footnote>
  <w:footnote w:type="continuationSeparator" w:id="0">
    <w:p w:rsidR="00E605CE" w:rsidRDefault="00E605CE" w:rsidP="00F17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77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4"/>
      <w:gridCol w:w="1386"/>
      <w:gridCol w:w="1656"/>
      <w:gridCol w:w="1371"/>
      <w:gridCol w:w="1911"/>
      <w:gridCol w:w="1431"/>
      <w:gridCol w:w="1596"/>
    </w:tblGrid>
    <w:tr w:rsidR="00C64149" w:rsidTr="00C64149">
      <w:tc>
        <w:tcPr>
          <w:tcW w:w="1416" w:type="dxa"/>
        </w:tcPr>
        <w:p w:rsidR="0042101B" w:rsidRDefault="00385E8E" w:rsidP="00CE7784">
          <w:pPr>
            <w:rPr>
              <w:rFonts w:ascii="Calibri Light" w:hAnsi="Calibri Light"/>
              <w:b/>
              <w:sz w:val="32"/>
              <w:szCs w:val="32"/>
            </w:rPr>
          </w:pPr>
          <w:r>
            <w:rPr>
              <w:rFonts w:ascii="Calibri Light" w:hAnsi="Calibri Light"/>
              <w:b/>
              <w:noProof/>
              <w:sz w:val="32"/>
              <w:szCs w:val="32"/>
              <w:lang w:eastAsia="it-IT"/>
            </w:rPr>
            <w:drawing>
              <wp:inline distT="0" distB="0" distL="0" distR="0">
                <wp:extent cx="843320" cy="762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cimga2016_vert_1.jpg"/>
                        <pic:cNvPicPr/>
                      </pic:nvPicPr>
                      <pic:blipFill>
                        <a:blip r:embed="rId1">
                          <a:extLst>
                            <a:ext uri="{28A0092B-C50C-407E-A947-70E740481C1C}">
                              <a14:useLocalDpi xmlns:a14="http://schemas.microsoft.com/office/drawing/2010/main" val="0"/>
                            </a:ext>
                          </a:extLst>
                        </a:blip>
                        <a:stretch>
                          <a:fillRect/>
                        </a:stretch>
                      </pic:blipFill>
                      <pic:spPr>
                        <a:xfrm>
                          <a:off x="0" y="0"/>
                          <a:ext cx="844020" cy="762632"/>
                        </a:xfrm>
                        <a:prstGeom prst="rect">
                          <a:avLst/>
                        </a:prstGeom>
                      </pic:spPr>
                    </pic:pic>
                  </a:graphicData>
                </a:graphic>
              </wp:inline>
            </w:drawing>
          </w:r>
        </w:p>
      </w:tc>
      <w:tc>
        <w:tcPr>
          <w:tcW w:w="1271" w:type="dxa"/>
        </w:tcPr>
        <w:p w:rsidR="0042101B" w:rsidRDefault="00A852C3" w:rsidP="00CE7784">
          <w:pPr>
            <w:rPr>
              <w:rFonts w:ascii="Calibri Light" w:hAnsi="Calibri Light"/>
              <w:b/>
              <w:sz w:val="32"/>
              <w:szCs w:val="32"/>
            </w:rPr>
          </w:pPr>
          <w:r>
            <w:rPr>
              <w:rFonts w:ascii="Calibri Light" w:hAnsi="Calibri Light"/>
              <w:b/>
              <w:noProof/>
              <w:sz w:val="32"/>
              <w:szCs w:val="32"/>
              <w:lang w:eastAsia="it-IT"/>
            </w:rPr>
            <w:drawing>
              <wp:inline distT="0" distB="0" distL="0" distR="0" wp14:anchorId="3F86E984" wp14:editId="35B9326A">
                <wp:extent cx="742950" cy="8953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AIE logo vuoto_nero_3.jpg"/>
                        <pic:cNvPicPr/>
                      </pic:nvPicPr>
                      <pic:blipFill rotWithShape="1">
                        <a:blip r:embed="rId2" cstate="print">
                          <a:extLst>
                            <a:ext uri="{28A0092B-C50C-407E-A947-70E740481C1C}">
                              <a14:useLocalDpi xmlns:a14="http://schemas.microsoft.com/office/drawing/2010/main" val="0"/>
                            </a:ext>
                          </a:extLst>
                        </a:blip>
                        <a:srcRect t="-8046" r="-428" b="-1"/>
                        <a:stretch/>
                      </pic:blipFill>
                      <pic:spPr bwMode="auto">
                        <a:xfrm>
                          <a:off x="0" y="0"/>
                          <a:ext cx="746915" cy="900129"/>
                        </a:xfrm>
                        <a:prstGeom prst="rect">
                          <a:avLst/>
                        </a:prstGeom>
                        <a:ln>
                          <a:noFill/>
                        </a:ln>
                        <a:extLst>
                          <a:ext uri="{53640926-AAD7-44D8-BBD7-CCE9431645EC}">
                            <a14:shadowObscured xmlns:a14="http://schemas.microsoft.com/office/drawing/2010/main"/>
                          </a:ext>
                        </a:extLst>
                      </pic:spPr>
                    </pic:pic>
                  </a:graphicData>
                </a:graphic>
              </wp:inline>
            </w:drawing>
          </w:r>
        </w:p>
      </w:tc>
      <w:tc>
        <w:tcPr>
          <w:tcW w:w="1699" w:type="dxa"/>
        </w:tcPr>
        <w:p w:rsidR="0042101B" w:rsidRDefault="0042101B" w:rsidP="0042101B">
          <w:pPr>
            <w:spacing w:line="360" w:lineRule="auto"/>
            <w:rPr>
              <w:rFonts w:ascii="Calibri Light" w:hAnsi="Calibri Light"/>
              <w:b/>
              <w:sz w:val="32"/>
              <w:szCs w:val="32"/>
            </w:rPr>
          </w:pPr>
          <w:r>
            <w:rPr>
              <w:rFonts w:ascii="Calibri Light" w:hAnsi="Calibri Light"/>
              <w:b/>
              <w:noProof/>
              <w:sz w:val="32"/>
              <w:szCs w:val="32"/>
              <w:lang w:eastAsia="it-IT"/>
            </w:rPr>
            <w:drawing>
              <wp:inline distT="0" distB="0" distL="0" distR="0" wp14:anchorId="1CCFCE99" wp14:editId="6B357EFF">
                <wp:extent cx="914400" cy="619124"/>
                <wp:effectExtent l="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I_logo_2015-rgb.jpg"/>
                        <pic:cNvPicPr preferRelativeResize="0"/>
                      </pic:nvPicPr>
                      <pic:blipFill rotWithShape="1">
                        <a:blip r:embed="rId3" cstate="print">
                          <a:extLst>
                            <a:ext uri="{28A0092B-C50C-407E-A947-70E740481C1C}">
                              <a14:useLocalDpi xmlns:a14="http://schemas.microsoft.com/office/drawing/2010/main" val="0"/>
                            </a:ext>
                          </a:extLst>
                        </a:blip>
                        <a:srcRect t="-75675" r="-464" b="-1"/>
                        <a:stretch/>
                      </pic:blipFill>
                      <pic:spPr bwMode="auto">
                        <a:xfrm>
                          <a:off x="0" y="0"/>
                          <a:ext cx="928570" cy="628718"/>
                        </a:xfrm>
                        <a:prstGeom prst="rect">
                          <a:avLst/>
                        </a:prstGeom>
                        <a:ln>
                          <a:noFill/>
                        </a:ln>
                        <a:extLst>
                          <a:ext uri="{53640926-AAD7-44D8-BBD7-CCE9431645EC}">
                            <a14:shadowObscured xmlns:a14="http://schemas.microsoft.com/office/drawing/2010/main"/>
                          </a:ext>
                        </a:extLst>
                      </pic:spPr>
                    </pic:pic>
                  </a:graphicData>
                </a:graphic>
              </wp:inline>
            </w:drawing>
          </w:r>
        </w:p>
      </w:tc>
      <w:tc>
        <w:tcPr>
          <w:tcW w:w="1414" w:type="dxa"/>
        </w:tcPr>
        <w:p w:rsidR="0042101B" w:rsidRDefault="0042101B" w:rsidP="00CE7784">
          <w:pPr>
            <w:rPr>
              <w:rFonts w:ascii="Calibri Light" w:hAnsi="Calibri Light"/>
              <w:b/>
              <w:sz w:val="32"/>
              <w:szCs w:val="32"/>
            </w:rPr>
          </w:pPr>
          <w:r>
            <w:rPr>
              <w:rFonts w:ascii="Calibri Light" w:hAnsi="Calibri Light"/>
              <w:b/>
              <w:noProof/>
              <w:sz w:val="32"/>
              <w:szCs w:val="32"/>
              <w:lang w:eastAsia="it-IT"/>
            </w:rPr>
            <w:drawing>
              <wp:inline distT="0" distB="0" distL="0" distR="0" wp14:anchorId="7E55FE69" wp14:editId="440DF310">
                <wp:extent cx="733425" cy="647168"/>
                <wp:effectExtent l="0" t="0" r="0" b="63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G.jpg"/>
                        <pic:cNvPicPr/>
                      </pic:nvPicPr>
                      <pic:blipFill rotWithShape="1">
                        <a:blip r:embed="rId4" cstate="print">
                          <a:extLst>
                            <a:ext uri="{28A0092B-C50C-407E-A947-70E740481C1C}">
                              <a14:useLocalDpi xmlns:a14="http://schemas.microsoft.com/office/drawing/2010/main" val="0"/>
                            </a:ext>
                          </a:extLst>
                        </a:blip>
                        <a:srcRect t="-51175" b="-2"/>
                        <a:stretch/>
                      </pic:blipFill>
                      <pic:spPr bwMode="auto">
                        <a:xfrm>
                          <a:off x="0" y="0"/>
                          <a:ext cx="732148" cy="646041"/>
                        </a:xfrm>
                        <a:prstGeom prst="rect">
                          <a:avLst/>
                        </a:prstGeom>
                        <a:ln>
                          <a:noFill/>
                        </a:ln>
                        <a:extLst>
                          <a:ext uri="{53640926-AAD7-44D8-BBD7-CCE9431645EC}">
                            <a14:shadowObscured xmlns:a14="http://schemas.microsoft.com/office/drawing/2010/main"/>
                          </a:ext>
                        </a:extLst>
                      </pic:spPr>
                    </pic:pic>
                  </a:graphicData>
                </a:graphic>
              </wp:inline>
            </w:drawing>
          </w:r>
        </w:p>
      </w:tc>
      <w:tc>
        <w:tcPr>
          <w:tcW w:w="1911" w:type="dxa"/>
        </w:tcPr>
        <w:p w:rsidR="0042101B" w:rsidRDefault="0042101B" w:rsidP="00CE7784">
          <w:pPr>
            <w:rPr>
              <w:rFonts w:ascii="Calibri Light" w:hAnsi="Calibri Light"/>
              <w:b/>
              <w:sz w:val="32"/>
              <w:szCs w:val="32"/>
            </w:rPr>
          </w:pPr>
          <w:r>
            <w:rPr>
              <w:rFonts w:ascii="Calibri Light" w:hAnsi="Calibri Light"/>
              <w:b/>
              <w:noProof/>
              <w:sz w:val="32"/>
              <w:szCs w:val="32"/>
              <w:lang w:eastAsia="it-IT"/>
            </w:rPr>
            <w:drawing>
              <wp:inline distT="0" distB="0" distL="0" distR="0" wp14:anchorId="66327C76" wp14:editId="39DD97EE">
                <wp:extent cx="1076325" cy="595933"/>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OCARTA.jpg"/>
                        <pic:cNvPicPr/>
                      </pic:nvPicPr>
                      <pic:blipFill rotWithShape="1">
                        <a:blip r:embed="rId5" cstate="print">
                          <a:extLst>
                            <a:ext uri="{28A0092B-C50C-407E-A947-70E740481C1C}">
                              <a14:useLocalDpi xmlns:a14="http://schemas.microsoft.com/office/drawing/2010/main" val="0"/>
                            </a:ext>
                          </a:extLst>
                        </a:blip>
                        <a:srcRect t="-62232"/>
                        <a:stretch/>
                      </pic:blipFill>
                      <pic:spPr bwMode="auto">
                        <a:xfrm>
                          <a:off x="0" y="0"/>
                          <a:ext cx="1091195" cy="604166"/>
                        </a:xfrm>
                        <a:prstGeom prst="rect">
                          <a:avLst/>
                        </a:prstGeom>
                        <a:ln>
                          <a:noFill/>
                        </a:ln>
                        <a:extLst>
                          <a:ext uri="{53640926-AAD7-44D8-BBD7-CCE9431645EC}">
                            <a14:shadowObscured xmlns:a14="http://schemas.microsoft.com/office/drawing/2010/main"/>
                          </a:ext>
                        </a:extLst>
                      </pic:spPr>
                    </pic:pic>
                  </a:graphicData>
                </a:graphic>
              </wp:inline>
            </w:drawing>
          </w:r>
        </w:p>
      </w:tc>
      <w:tc>
        <w:tcPr>
          <w:tcW w:w="1547" w:type="dxa"/>
        </w:tcPr>
        <w:p w:rsidR="0042101B" w:rsidRDefault="00C64149" w:rsidP="00CE7784">
          <w:pPr>
            <w:rPr>
              <w:rFonts w:ascii="Calibri Light" w:hAnsi="Calibri Light"/>
              <w:b/>
              <w:sz w:val="32"/>
              <w:szCs w:val="32"/>
            </w:rPr>
          </w:pPr>
          <w:r>
            <w:rPr>
              <w:rFonts w:ascii="Calibri Light" w:hAnsi="Calibri Light"/>
              <w:b/>
              <w:noProof/>
              <w:sz w:val="32"/>
              <w:szCs w:val="32"/>
              <w:lang w:eastAsia="it-IT"/>
            </w:rPr>
            <w:drawing>
              <wp:inline distT="0" distB="0" distL="0" distR="0" wp14:anchorId="051A4FDE" wp14:editId="5D76B949">
                <wp:extent cx="771525" cy="762000"/>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OGRAFICI.jpg"/>
                        <pic:cNvPicPr/>
                      </pic:nvPicPr>
                      <pic:blipFill rotWithShape="1">
                        <a:blip r:embed="rId6" cstate="print">
                          <a:extLst>
                            <a:ext uri="{28A0092B-C50C-407E-A947-70E740481C1C}">
                              <a14:useLocalDpi xmlns:a14="http://schemas.microsoft.com/office/drawing/2010/main" val="0"/>
                            </a:ext>
                          </a:extLst>
                        </a:blip>
                        <a:srcRect t="-23078" r="-20" b="-1"/>
                        <a:stretch/>
                      </pic:blipFill>
                      <pic:spPr bwMode="auto">
                        <a:xfrm>
                          <a:off x="0" y="0"/>
                          <a:ext cx="772316" cy="762782"/>
                        </a:xfrm>
                        <a:prstGeom prst="rect">
                          <a:avLst/>
                        </a:prstGeom>
                        <a:ln>
                          <a:noFill/>
                        </a:ln>
                        <a:extLst>
                          <a:ext uri="{53640926-AAD7-44D8-BBD7-CCE9431645EC}">
                            <a14:shadowObscured xmlns:a14="http://schemas.microsoft.com/office/drawing/2010/main"/>
                          </a:ext>
                        </a:extLst>
                      </pic:spPr>
                    </pic:pic>
                  </a:graphicData>
                </a:graphic>
              </wp:inline>
            </w:drawing>
          </w:r>
        </w:p>
      </w:tc>
      <w:tc>
        <w:tcPr>
          <w:tcW w:w="1515" w:type="dxa"/>
        </w:tcPr>
        <w:p w:rsidR="0042101B" w:rsidRDefault="00C64149" w:rsidP="00CE7784">
          <w:pPr>
            <w:rPr>
              <w:rFonts w:ascii="Calibri Light" w:hAnsi="Calibri Light"/>
              <w:b/>
              <w:sz w:val="32"/>
              <w:szCs w:val="32"/>
            </w:rPr>
          </w:pPr>
          <w:r>
            <w:rPr>
              <w:rFonts w:ascii="Calibri Light" w:hAnsi="Calibri Light"/>
              <w:b/>
              <w:noProof/>
              <w:sz w:val="32"/>
              <w:szCs w:val="32"/>
              <w:lang w:eastAsia="it-IT"/>
            </w:rPr>
            <w:drawing>
              <wp:inline distT="0" distB="0" distL="0" distR="0" wp14:anchorId="2EAF03DB" wp14:editId="0B33B656">
                <wp:extent cx="871723" cy="771525"/>
                <wp:effectExtent l="0" t="0" r="508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EG IN FORMATO VETTORIALE (da Grafica Mercanti).jpg"/>
                        <pic:cNvPicPr/>
                      </pic:nvPicPr>
                      <pic:blipFill rotWithShape="1">
                        <a:blip r:embed="rId7">
                          <a:extLst>
                            <a:ext uri="{28A0092B-C50C-407E-A947-70E740481C1C}">
                              <a14:useLocalDpi xmlns:a14="http://schemas.microsoft.com/office/drawing/2010/main" val="0"/>
                            </a:ext>
                          </a:extLst>
                        </a:blip>
                        <a:srcRect t="-18461" r="-449"/>
                        <a:stretch/>
                      </pic:blipFill>
                      <pic:spPr bwMode="auto">
                        <a:xfrm>
                          <a:off x="0" y="0"/>
                          <a:ext cx="879169" cy="778115"/>
                        </a:xfrm>
                        <a:prstGeom prst="rect">
                          <a:avLst/>
                        </a:prstGeom>
                        <a:ln>
                          <a:noFill/>
                        </a:ln>
                        <a:extLst>
                          <a:ext uri="{53640926-AAD7-44D8-BBD7-CCE9431645EC}">
                            <a14:shadowObscured xmlns:a14="http://schemas.microsoft.com/office/drawing/2010/main"/>
                          </a:ext>
                        </a:extLst>
                      </pic:spPr>
                    </pic:pic>
                  </a:graphicData>
                </a:graphic>
              </wp:inline>
            </w:drawing>
          </w:r>
        </w:p>
      </w:tc>
    </w:tr>
  </w:tbl>
  <w:p w:rsidR="00F17DD9" w:rsidRDefault="0042101B" w:rsidP="0042101B">
    <w:pPr>
      <w:pStyle w:val="Intestazione"/>
      <w:ind w:right="-711" w:hanging="567"/>
      <w:jc w:val="center"/>
    </w:pPr>
    <w:r>
      <w:rPr>
        <w:noProof/>
        <w:lang w:eastAsia="it-I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78EA"/>
    <w:multiLevelType w:val="hybridMultilevel"/>
    <w:tmpl w:val="4BBC0354"/>
    <w:lvl w:ilvl="0" w:tplc="F7AE880A">
      <w:start w:val="18"/>
      <w:numFmt w:val="bullet"/>
      <w:lvlText w:val="-"/>
      <w:lvlJc w:val="left"/>
      <w:pPr>
        <w:ind w:left="1440" w:hanging="360"/>
      </w:pPr>
      <w:rPr>
        <w:rFonts w:ascii="Calibri" w:eastAsia="Calibri" w:hAnsi="Calibri"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426F5B10"/>
    <w:multiLevelType w:val="hybridMultilevel"/>
    <w:tmpl w:val="0986CD32"/>
    <w:lvl w:ilvl="0" w:tplc="F7AE880A">
      <w:start w:val="1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DD9"/>
    <w:rsid w:val="00013556"/>
    <w:rsid w:val="000A62E7"/>
    <w:rsid w:val="000B711B"/>
    <w:rsid w:val="00110150"/>
    <w:rsid w:val="001268CB"/>
    <w:rsid w:val="001F1833"/>
    <w:rsid w:val="00246403"/>
    <w:rsid w:val="0026496B"/>
    <w:rsid w:val="00267D74"/>
    <w:rsid w:val="002864C7"/>
    <w:rsid w:val="003055A8"/>
    <w:rsid w:val="00370A97"/>
    <w:rsid w:val="00385E8E"/>
    <w:rsid w:val="0042101B"/>
    <w:rsid w:val="0046242F"/>
    <w:rsid w:val="00463C76"/>
    <w:rsid w:val="00472C6B"/>
    <w:rsid w:val="004E3CB0"/>
    <w:rsid w:val="004E61BE"/>
    <w:rsid w:val="00512066"/>
    <w:rsid w:val="00527015"/>
    <w:rsid w:val="00531A6E"/>
    <w:rsid w:val="005325AC"/>
    <w:rsid w:val="005B2426"/>
    <w:rsid w:val="005D32E4"/>
    <w:rsid w:val="00665B66"/>
    <w:rsid w:val="006A3D63"/>
    <w:rsid w:val="006B2C2A"/>
    <w:rsid w:val="006F5306"/>
    <w:rsid w:val="00736256"/>
    <w:rsid w:val="007425BF"/>
    <w:rsid w:val="007536F6"/>
    <w:rsid w:val="007C42A9"/>
    <w:rsid w:val="00826458"/>
    <w:rsid w:val="00887D0B"/>
    <w:rsid w:val="008A7A71"/>
    <w:rsid w:val="008E0A0F"/>
    <w:rsid w:val="009358AE"/>
    <w:rsid w:val="009A74A2"/>
    <w:rsid w:val="00A069D8"/>
    <w:rsid w:val="00A21E76"/>
    <w:rsid w:val="00A57B32"/>
    <w:rsid w:val="00A852C3"/>
    <w:rsid w:val="00B067F1"/>
    <w:rsid w:val="00B324D1"/>
    <w:rsid w:val="00B738C3"/>
    <w:rsid w:val="00B81698"/>
    <w:rsid w:val="00B827E6"/>
    <w:rsid w:val="00C14127"/>
    <w:rsid w:val="00C15934"/>
    <w:rsid w:val="00C401AD"/>
    <w:rsid w:val="00C64149"/>
    <w:rsid w:val="00CB1A55"/>
    <w:rsid w:val="00D571E1"/>
    <w:rsid w:val="00D612B9"/>
    <w:rsid w:val="00DF64C0"/>
    <w:rsid w:val="00E220C5"/>
    <w:rsid w:val="00E356DA"/>
    <w:rsid w:val="00E605CE"/>
    <w:rsid w:val="00ED36DD"/>
    <w:rsid w:val="00ED3E75"/>
    <w:rsid w:val="00F17DD9"/>
    <w:rsid w:val="00F51ABF"/>
    <w:rsid w:val="00FA57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E4D9E09B-EDA5-4479-A00C-CDE0237B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4E3C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17D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7DD9"/>
  </w:style>
  <w:style w:type="paragraph" w:styleId="Pidipagina">
    <w:name w:val="footer"/>
    <w:basedOn w:val="Normale"/>
    <w:link w:val="PidipaginaCarattere"/>
    <w:uiPriority w:val="99"/>
    <w:unhideWhenUsed/>
    <w:rsid w:val="00F17D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7DD9"/>
  </w:style>
  <w:style w:type="paragraph" w:styleId="Testofumetto">
    <w:name w:val="Balloon Text"/>
    <w:basedOn w:val="Normale"/>
    <w:link w:val="TestofumettoCarattere"/>
    <w:uiPriority w:val="99"/>
    <w:semiHidden/>
    <w:unhideWhenUsed/>
    <w:rsid w:val="00472C6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72C6B"/>
    <w:rPr>
      <w:rFonts w:ascii="Segoe UI" w:hAnsi="Segoe UI" w:cs="Segoe UI"/>
      <w:sz w:val="18"/>
      <w:szCs w:val="18"/>
    </w:rPr>
  </w:style>
  <w:style w:type="paragraph" w:styleId="Paragrafoelenco">
    <w:name w:val="List Paragraph"/>
    <w:basedOn w:val="Normale"/>
    <w:uiPriority w:val="34"/>
    <w:qFormat/>
    <w:rsid w:val="00D571E1"/>
    <w:pPr>
      <w:ind w:left="720"/>
      <w:contextualSpacing/>
    </w:pPr>
  </w:style>
  <w:style w:type="table" w:styleId="Grigliatabella">
    <w:name w:val="Table Grid"/>
    <w:basedOn w:val="Tabellanormale"/>
    <w:uiPriority w:val="59"/>
    <w:rsid w:val="00421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0A62E7"/>
    <w:rPr>
      <w:color w:val="0000FF"/>
      <w:u w:val="single"/>
    </w:rPr>
  </w:style>
  <w:style w:type="paragraph" w:styleId="Nessunaspaziatura">
    <w:name w:val="No Spacing"/>
    <w:uiPriority w:val="1"/>
    <w:qFormat/>
    <w:rsid w:val="000A62E7"/>
    <w:pPr>
      <w:spacing w:after="0" w:line="240" w:lineRule="auto"/>
      <w:ind w:left="1134" w:right="1134"/>
      <w:jc w:val="center"/>
    </w:pPr>
    <w:rPr>
      <w:rFonts w:ascii="Calibri" w:eastAsia="Calibri" w:hAnsi="Calibri" w:cs="Times New Roman"/>
    </w:rPr>
  </w:style>
  <w:style w:type="character" w:styleId="Enfasicorsivo">
    <w:name w:val="Emphasis"/>
    <w:basedOn w:val="Carpredefinitoparagrafo"/>
    <w:uiPriority w:val="20"/>
    <w:qFormat/>
    <w:rsid w:val="00736256"/>
    <w:rPr>
      <w:b/>
      <w:bCs/>
      <w:i w:val="0"/>
      <w:iCs w:val="0"/>
    </w:rPr>
  </w:style>
  <w:style w:type="paragraph" w:styleId="NormaleWeb">
    <w:name w:val="Normal (Web)"/>
    <w:basedOn w:val="Normale"/>
    <w:uiPriority w:val="99"/>
    <w:unhideWhenUsed/>
    <w:rsid w:val="0073625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unhideWhenUsed/>
    <w:rsid w:val="00A069D8"/>
    <w:pPr>
      <w:spacing w:after="0" w:line="240" w:lineRule="auto"/>
    </w:pPr>
    <w:rPr>
      <w:rFonts w:ascii="Consolas" w:eastAsia="Calibri" w:hAnsi="Consolas" w:cs="Times New Roman"/>
      <w:sz w:val="21"/>
      <w:szCs w:val="21"/>
    </w:rPr>
  </w:style>
  <w:style w:type="character" w:customStyle="1" w:styleId="TestonormaleCarattere">
    <w:name w:val="Testo normale Carattere"/>
    <w:basedOn w:val="Carpredefinitoparagrafo"/>
    <w:link w:val="Testonormale"/>
    <w:uiPriority w:val="99"/>
    <w:rsid w:val="00A069D8"/>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80778">
      <w:bodyDiv w:val="1"/>
      <w:marLeft w:val="0"/>
      <w:marRight w:val="0"/>
      <w:marTop w:val="0"/>
      <w:marBottom w:val="0"/>
      <w:divBdr>
        <w:top w:val="none" w:sz="0" w:space="0" w:color="auto"/>
        <w:left w:val="none" w:sz="0" w:space="0" w:color="auto"/>
        <w:bottom w:val="none" w:sz="0" w:space="0" w:color="auto"/>
        <w:right w:val="none" w:sz="0" w:space="0" w:color="auto"/>
      </w:divBdr>
    </w:div>
    <w:div w:id="182792467">
      <w:bodyDiv w:val="1"/>
      <w:marLeft w:val="0"/>
      <w:marRight w:val="0"/>
      <w:marTop w:val="0"/>
      <w:marBottom w:val="0"/>
      <w:divBdr>
        <w:top w:val="none" w:sz="0" w:space="0" w:color="auto"/>
        <w:left w:val="none" w:sz="0" w:space="0" w:color="auto"/>
        <w:bottom w:val="none" w:sz="0" w:space="0" w:color="auto"/>
        <w:right w:val="none" w:sz="0" w:space="0" w:color="auto"/>
      </w:divBdr>
    </w:div>
    <w:div w:id="249002004">
      <w:bodyDiv w:val="1"/>
      <w:marLeft w:val="0"/>
      <w:marRight w:val="0"/>
      <w:marTop w:val="0"/>
      <w:marBottom w:val="0"/>
      <w:divBdr>
        <w:top w:val="none" w:sz="0" w:space="0" w:color="auto"/>
        <w:left w:val="none" w:sz="0" w:space="0" w:color="auto"/>
        <w:bottom w:val="none" w:sz="0" w:space="0" w:color="auto"/>
        <w:right w:val="none" w:sz="0" w:space="0" w:color="auto"/>
      </w:divBdr>
    </w:div>
    <w:div w:id="834801535">
      <w:bodyDiv w:val="1"/>
      <w:marLeft w:val="0"/>
      <w:marRight w:val="0"/>
      <w:marTop w:val="0"/>
      <w:marBottom w:val="0"/>
      <w:divBdr>
        <w:top w:val="none" w:sz="0" w:space="0" w:color="auto"/>
        <w:left w:val="none" w:sz="0" w:space="0" w:color="auto"/>
        <w:bottom w:val="none" w:sz="0" w:space="0" w:color="auto"/>
        <w:right w:val="none" w:sz="0" w:space="0" w:color="auto"/>
      </w:divBdr>
    </w:div>
    <w:div w:id="1461146952">
      <w:bodyDiv w:val="1"/>
      <w:marLeft w:val="0"/>
      <w:marRight w:val="0"/>
      <w:marTop w:val="0"/>
      <w:marBottom w:val="0"/>
      <w:divBdr>
        <w:top w:val="none" w:sz="0" w:space="0" w:color="auto"/>
        <w:left w:val="none" w:sz="0" w:space="0" w:color="auto"/>
        <w:bottom w:val="none" w:sz="0" w:space="0" w:color="auto"/>
        <w:right w:val="none" w:sz="0" w:space="0" w:color="auto"/>
      </w:divBdr>
    </w:div>
    <w:div w:id="1619028429">
      <w:bodyDiv w:val="1"/>
      <w:marLeft w:val="0"/>
      <w:marRight w:val="0"/>
      <w:marTop w:val="0"/>
      <w:marBottom w:val="0"/>
      <w:divBdr>
        <w:top w:val="none" w:sz="0" w:space="0" w:color="auto"/>
        <w:left w:val="none" w:sz="0" w:space="0" w:color="auto"/>
        <w:bottom w:val="none" w:sz="0" w:space="0" w:color="auto"/>
        <w:right w:val="none" w:sz="0" w:space="0" w:color="auto"/>
      </w:divBdr>
    </w:div>
    <w:div w:id="1728410798">
      <w:bodyDiv w:val="1"/>
      <w:marLeft w:val="0"/>
      <w:marRight w:val="0"/>
      <w:marTop w:val="0"/>
      <w:marBottom w:val="0"/>
      <w:divBdr>
        <w:top w:val="none" w:sz="0" w:space="0" w:color="auto"/>
        <w:left w:val="none" w:sz="0" w:space="0" w:color="auto"/>
        <w:bottom w:val="none" w:sz="0" w:space="0" w:color="auto"/>
        <w:right w:val="none" w:sz="0" w:space="0" w:color="auto"/>
      </w:divBdr>
    </w:div>
    <w:div w:id="193065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g"/><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481</Words>
  <Characters>2742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Daneluz</dc:creator>
  <cp:keywords/>
  <dc:description/>
  <cp:lastModifiedBy>Diana Daneluz</cp:lastModifiedBy>
  <cp:revision>7</cp:revision>
  <cp:lastPrinted>2016-03-15T11:57:00Z</cp:lastPrinted>
  <dcterms:created xsi:type="dcterms:W3CDTF">2016-03-14T13:53:00Z</dcterms:created>
  <dcterms:modified xsi:type="dcterms:W3CDTF">2016-03-16T12:54:00Z</dcterms:modified>
</cp:coreProperties>
</file>